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F634B" w:rsidRDefault="00FF634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5357" w:type="dxa"/>
        <w:tblInd w:w="-11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666"/>
        <w:gridCol w:w="1800"/>
        <w:gridCol w:w="2637"/>
        <w:gridCol w:w="1323"/>
        <w:gridCol w:w="180"/>
        <w:gridCol w:w="1440"/>
        <w:gridCol w:w="270"/>
        <w:gridCol w:w="1298"/>
        <w:gridCol w:w="829"/>
        <w:gridCol w:w="589"/>
        <w:gridCol w:w="1301"/>
        <w:gridCol w:w="810"/>
        <w:gridCol w:w="1080"/>
      </w:tblGrid>
      <w:tr w:rsidR="00FF634B">
        <w:trPr>
          <w:trHeight w:val="420"/>
        </w:trPr>
        <w:tc>
          <w:tcPr>
            <w:tcW w:w="15357" w:type="dxa"/>
            <w:gridSpan w:val="14"/>
            <w:vAlign w:val="center"/>
          </w:tcPr>
          <w:p w:rsidR="00FF634B" w:rsidRDefault="007F67F6">
            <w:pPr>
              <w:ind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PROCESO: GESTIÓN INTEGRAL DE PROCESOS</w:t>
            </w:r>
          </w:p>
        </w:tc>
      </w:tr>
      <w:tr w:rsidR="00FF634B">
        <w:trPr>
          <w:trHeight w:val="484"/>
        </w:trPr>
        <w:tc>
          <w:tcPr>
            <w:tcW w:w="15357" w:type="dxa"/>
            <w:gridSpan w:val="14"/>
            <w:vAlign w:val="center"/>
          </w:tcPr>
          <w:p w:rsidR="00FF634B" w:rsidRDefault="007F67F6">
            <w:pPr>
              <w:ind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ÁREA: SISTEMA DE GESTIÓN SEGURIDAD Y SALUD EN EL TRABAJO – SG-SST</w:t>
            </w:r>
          </w:p>
        </w:tc>
      </w:tr>
      <w:tr w:rsidR="00FF634B">
        <w:trPr>
          <w:trHeight w:val="368"/>
        </w:trPr>
        <w:tc>
          <w:tcPr>
            <w:tcW w:w="1800" w:type="dxa"/>
            <w:gridSpan w:val="2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Fecha de Suscripción:</w:t>
            </w:r>
          </w:p>
        </w:tc>
        <w:tc>
          <w:tcPr>
            <w:tcW w:w="1800" w:type="dxa"/>
            <w:vAlign w:val="center"/>
          </w:tcPr>
          <w:p w:rsidR="00FF634B" w:rsidRDefault="007F67F6">
            <w:pPr>
              <w:ind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02/12/2024</w:t>
            </w:r>
          </w:p>
        </w:tc>
        <w:tc>
          <w:tcPr>
            <w:tcW w:w="3960" w:type="dxa"/>
            <w:gridSpan w:val="2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Periodo de Ejecución del Plan</w:t>
            </w:r>
          </w:p>
        </w:tc>
        <w:tc>
          <w:tcPr>
            <w:tcW w:w="1890" w:type="dxa"/>
            <w:gridSpan w:val="3"/>
            <w:vAlign w:val="center"/>
          </w:tcPr>
          <w:p w:rsidR="00FF634B" w:rsidRDefault="007F67F6">
            <w:pPr>
              <w:ind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Desde:</w:t>
            </w:r>
          </w:p>
        </w:tc>
        <w:tc>
          <w:tcPr>
            <w:tcW w:w="2127" w:type="dxa"/>
            <w:gridSpan w:val="2"/>
            <w:vAlign w:val="center"/>
          </w:tcPr>
          <w:p w:rsidR="00FF634B" w:rsidRDefault="007F67F6">
            <w:pPr>
              <w:ind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02/12/2024</w:t>
            </w:r>
          </w:p>
        </w:tc>
        <w:tc>
          <w:tcPr>
            <w:tcW w:w="1890" w:type="dxa"/>
            <w:gridSpan w:val="2"/>
            <w:vAlign w:val="center"/>
          </w:tcPr>
          <w:p w:rsidR="00FF634B" w:rsidRDefault="007F67F6">
            <w:pPr>
              <w:ind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Hasta:</w:t>
            </w:r>
          </w:p>
        </w:tc>
        <w:tc>
          <w:tcPr>
            <w:tcW w:w="1890" w:type="dxa"/>
            <w:gridSpan w:val="2"/>
            <w:vAlign w:val="center"/>
          </w:tcPr>
          <w:p w:rsidR="00FF634B" w:rsidRDefault="007F67F6">
            <w:pPr>
              <w:ind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30/11/2025</w:t>
            </w:r>
          </w:p>
        </w:tc>
      </w:tr>
      <w:tr w:rsidR="00FF634B">
        <w:trPr>
          <w:trHeight w:val="314"/>
        </w:trPr>
        <w:tc>
          <w:tcPr>
            <w:tcW w:w="3600" w:type="dxa"/>
            <w:gridSpan w:val="3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IDENTIFICACION DEL HALLAZGO</w:t>
            </w:r>
          </w:p>
        </w:tc>
        <w:tc>
          <w:tcPr>
            <w:tcW w:w="11757" w:type="dxa"/>
            <w:gridSpan w:val="11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ACCIONES DE MEJORAMIENTO PROPUESTAS POR EL FUNCIONARIO</w:t>
            </w:r>
          </w:p>
        </w:tc>
      </w:tr>
      <w:tr w:rsidR="00FF634B">
        <w:trPr>
          <w:trHeight w:val="549"/>
        </w:trPr>
        <w:tc>
          <w:tcPr>
            <w:tcW w:w="1134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N°</w:t>
            </w:r>
          </w:p>
        </w:tc>
        <w:tc>
          <w:tcPr>
            <w:tcW w:w="2466" w:type="dxa"/>
            <w:gridSpan w:val="2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DESCRIPCION DEL HALLAZGO</w:t>
            </w:r>
          </w:p>
        </w:tc>
        <w:tc>
          <w:tcPr>
            <w:tcW w:w="2637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ACCION CORRECTIVA EJECUTAR</w:t>
            </w:r>
          </w:p>
        </w:tc>
        <w:tc>
          <w:tcPr>
            <w:tcW w:w="1503" w:type="dxa"/>
            <w:gridSpan w:val="2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META</w:t>
            </w:r>
          </w:p>
        </w:tc>
        <w:tc>
          <w:tcPr>
            <w:tcW w:w="1440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FECHA DE INICIO</w:t>
            </w:r>
          </w:p>
        </w:tc>
        <w:tc>
          <w:tcPr>
            <w:tcW w:w="1568" w:type="dxa"/>
            <w:gridSpan w:val="2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FECHA DE TERMINACION</w:t>
            </w:r>
          </w:p>
        </w:tc>
        <w:tc>
          <w:tcPr>
            <w:tcW w:w="1418" w:type="dxa"/>
            <w:gridSpan w:val="2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INDICADOR</w:t>
            </w:r>
          </w:p>
        </w:tc>
        <w:tc>
          <w:tcPr>
            <w:tcW w:w="2111" w:type="dxa"/>
            <w:gridSpan w:val="2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OBSERVACIONES DE CONTROL INTERNO</w:t>
            </w:r>
          </w:p>
        </w:tc>
        <w:tc>
          <w:tcPr>
            <w:tcW w:w="1080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CALIFICA-CION</w:t>
            </w:r>
          </w:p>
        </w:tc>
      </w:tr>
      <w:tr w:rsidR="00FF634B">
        <w:tc>
          <w:tcPr>
            <w:tcW w:w="1134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2466" w:type="dxa"/>
            <w:gridSpan w:val="2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 se evidenció Matriz de autoridades y responsabilidades conforme al Decreto 1072 de 2015 Art 2.2.4.6.30 Numeral 1</w:t>
            </w:r>
          </w:p>
        </w:tc>
        <w:tc>
          <w:tcPr>
            <w:tcW w:w="2637" w:type="dxa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Conocer el sistema documental del AIM en cuanto al SGC.</w:t>
            </w:r>
          </w:p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Ruta:</w:t>
            </w:r>
            <w: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>PUBLICA\SGC\2. GESTIÓN INTEGRAL DE PROCESOS\4. MANUALES - GUÍAS"</w:t>
            </w:r>
          </w:p>
        </w:tc>
        <w:tc>
          <w:tcPr>
            <w:tcW w:w="1503" w:type="dxa"/>
            <w:gridSpan w:val="2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Realizar búsquedas en la carpeta PÚBLICA que contiene la documentación oficial del AIM.</w:t>
            </w:r>
          </w:p>
        </w:tc>
        <w:tc>
          <w:tcPr>
            <w:tcW w:w="1440" w:type="dxa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02/12/2024</w:t>
            </w:r>
          </w:p>
        </w:tc>
        <w:tc>
          <w:tcPr>
            <w:tcW w:w="1568" w:type="dxa"/>
            <w:gridSpan w:val="2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30/06/2025</w:t>
            </w:r>
          </w:p>
        </w:tc>
        <w:tc>
          <w:tcPr>
            <w:tcW w:w="1418" w:type="dxa"/>
            <w:gridSpan w:val="2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Búsquedas completadas / Búsquedas solicitadas</w:t>
            </w:r>
          </w:p>
        </w:tc>
        <w:tc>
          <w:tcPr>
            <w:tcW w:w="2111" w:type="dxa"/>
            <w:gridSpan w:val="2"/>
          </w:tcPr>
          <w:p w:rsidR="00FF634B" w:rsidRDefault="007F67F6">
            <w:pPr>
              <w:ind w:left="-87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Se estableció Matriz de Responsabilidades en SST socializada mediante correo con fecha 24/10/24. El día 20/12/24 se incluyó en Reinducción General. </w:t>
            </w:r>
          </w:p>
          <w:p w:rsidR="00FF634B" w:rsidRDefault="00AC711F">
            <w:pPr>
              <w:ind w:left="-87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hyperlink r:id="rId7">
              <w:r w:rsidR="007F67F6">
                <w:rPr>
                  <w:rFonts w:ascii="Arial" w:eastAsia="Arial" w:hAnsi="Arial" w:cs="Arial"/>
                  <w:color w:val="0000FF"/>
                  <w:sz w:val="20"/>
                  <w:szCs w:val="20"/>
                  <w:u w:val="single"/>
                </w:rPr>
                <w:t>Ver registros</w:t>
              </w:r>
            </w:hyperlink>
          </w:p>
          <w:p w:rsidR="00FF634B" w:rsidRDefault="00FF634B">
            <w:pPr>
              <w:ind w:left="-87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:rsidR="00FF634B" w:rsidRDefault="007F67F6">
            <w:pPr>
              <w:ind w:left="-87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Se evidencia cumplimiento documento DGGI15 MATRIZ DE RESPONSABILIDADES SG-SST</w:t>
            </w:r>
          </w:p>
        </w:tc>
        <w:tc>
          <w:tcPr>
            <w:tcW w:w="1080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</w:tr>
      <w:tr w:rsidR="00FF634B">
        <w:trPr>
          <w:trHeight w:val="3534"/>
        </w:trPr>
        <w:tc>
          <w:tcPr>
            <w:tcW w:w="1134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2</w:t>
            </w:r>
          </w:p>
        </w:tc>
        <w:tc>
          <w:tcPr>
            <w:tcW w:w="2466" w:type="dxa"/>
            <w:gridSpan w:val="2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 se evidencia información sobre el seguimiento a los indicadores que maneja el sistema de seguridad y salud en el trabajo.</w:t>
            </w:r>
          </w:p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 se evidencia que se miden y se monitorean los indicadores y estos son analizados por el COPASST y también por el Profesional responsable del SST.</w:t>
            </w:r>
          </w:p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Decreto 1072 de 2015 Art 2.2.4.6.30 Numeral 2</w:t>
            </w:r>
          </w:p>
        </w:tc>
        <w:tc>
          <w:tcPr>
            <w:tcW w:w="2637" w:type="dxa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Diligenciamiento y gestión de indicadores de acuerdo a la normatividad dejando registro actualizado.</w:t>
            </w:r>
          </w:p>
        </w:tc>
        <w:tc>
          <w:tcPr>
            <w:tcW w:w="1503" w:type="dxa"/>
            <w:gridSpan w:val="2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Matriz actualizada de indicadores de Estructura, Proceso y Resultado</w:t>
            </w:r>
          </w:p>
        </w:tc>
        <w:tc>
          <w:tcPr>
            <w:tcW w:w="1440" w:type="dxa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02/12/2024</w:t>
            </w:r>
          </w:p>
        </w:tc>
        <w:tc>
          <w:tcPr>
            <w:tcW w:w="1568" w:type="dxa"/>
            <w:gridSpan w:val="2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30/06/2025</w:t>
            </w:r>
          </w:p>
        </w:tc>
        <w:tc>
          <w:tcPr>
            <w:tcW w:w="1418" w:type="dxa"/>
            <w:gridSpan w:val="2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Matriz actualizada de indicadores en la fecha de revisión</w:t>
            </w:r>
          </w:p>
        </w:tc>
        <w:tc>
          <w:tcPr>
            <w:tcW w:w="2111" w:type="dxa"/>
            <w:gridSpan w:val="2"/>
            <w:vAlign w:val="center"/>
          </w:tcPr>
          <w:p w:rsidR="00FF634B" w:rsidRDefault="007F67F6">
            <w:pPr>
              <w:ind w:left="-89" w:firstLine="1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Matrices de indicadores actualizadas:</w:t>
            </w:r>
          </w:p>
          <w:p w:rsidR="00FF634B" w:rsidRDefault="007F67F6">
            <w:pPr>
              <w:ind w:left="-89" w:firstLine="1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Indicadores de Estructura, Proceso y Resultado.</w:t>
            </w:r>
          </w:p>
          <w:p w:rsidR="00FF634B" w:rsidRDefault="007F67F6">
            <w:pPr>
              <w:ind w:left="-89" w:firstLine="1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Indicadores de accidentalidad en cero.</w:t>
            </w:r>
          </w:p>
          <w:p w:rsidR="00FF634B" w:rsidRDefault="007F67F6">
            <w:pPr>
              <w:ind w:left="-89" w:firstLine="1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Revisión en reuniones del Copasst</w:t>
            </w:r>
          </w:p>
          <w:p w:rsidR="00FF634B" w:rsidRDefault="00AC711F">
            <w:pPr>
              <w:ind w:hanging="2"/>
              <w:jc w:val="both"/>
              <w:rPr>
                <w:rFonts w:ascii="Arial" w:eastAsia="Arial" w:hAnsi="Arial" w:cs="Arial"/>
                <w:color w:val="0000FF"/>
                <w:sz w:val="20"/>
                <w:szCs w:val="20"/>
                <w:u w:val="single"/>
              </w:rPr>
            </w:pPr>
            <w:hyperlink r:id="rId8">
              <w:r w:rsidR="007F67F6">
                <w:rPr>
                  <w:rFonts w:ascii="Arial" w:eastAsia="Arial" w:hAnsi="Arial" w:cs="Arial"/>
                  <w:color w:val="0000FF"/>
                  <w:sz w:val="20"/>
                  <w:szCs w:val="20"/>
                  <w:u w:val="single"/>
                </w:rPr>
                <w:t>Ver registros</w:t>
              </w:r>
            </w:hyperlink>
          </w:p>
          <w:p w:rsidR="00FF634B" w:rsidRDefault="00AC711F">
            <w:pPr>
              <w:ind w:hanging="2"/>
              <w:jc w:val="both"/>
              <w:rPr>
                <w:rFonts w:ascii="Arial" w:eastAsia="Arial" w:hAnsi="Arial" w:cs="Arial"/>
                <w:color w:val="0000FF"/>
                <w:sz w:val="20"/>
                <w:szCs w:val="20"/>
                <w:u w:val="single"/>
              </w:rPr>
            </w:pPr>
            <w:hyperlink r:id="rId9">
              <w:r w:rsidR="007F67F6">
                <w:rPr>
                  <w:rFonts w:ascii="Arial" w:eastAsia="Arial" w:hAnsi="Arial" w:cs="Arial"/>
                  <w:color w:val="0000FF"/>
                  <w:sz w:val="20"/>
                  <w:szCs w:val="20"/>
                  <w:u w:val="single"/>
                </w:rPr>
                <w:t>Ver registros:</w:t>
              </w:r>
            </w:hyperlink>
          </w:p>
          <w:p w:rsidR="00FF634B" w:rsidRDefault="00AC711F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hyperlink r:id="rId10">
              <w:r w:rsidR="007F67F6">
                <w:rPr>
                  <w:rFonts w:ascii="Arial" w:eastAsia="Arial" w:hAnsi="Arial" w:cs="Arial"/>
                  <w:color w:val="0000FF"/>
                  <w:sz w:val="20"/>
                  <w:szCs w:val="20"/>
                  <w:u w:val="single"/>
                </w:rPr>
                <w:t>Ver registros:</w:t>
              </w:r>
            </w:hyperlink>
          </w:p>
          <w:p w:rsidR="00FF634B" w:rsidRDefault="007F67F6">
            <w:pPr>
              <w:ind w:left="-87" w:right="-148" w:firstLine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Presenta cumplimiento.</w:t>
            </w:r>
          </w:p>
        </w:tc>
        <w:tc>
          <w:tcPr>
            <w:tcW w:w="1080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</w:tr>
      <w:tr w:rsidR="00FF634B">
        <w:trPr>
          <w:trHeight w:val="424"/>
        </w:trPr>
        <w:tc>
          <w:tcPr>
            <w:tcW w:w="3600" w:type="dxa"/>
            <w:gridSpan w:val="3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IDENTIFICACION DEL HALLAZGO</w:t>
            </w:r>
          </w:p>
        </w:tc>
        <w:tc>
          <w:tcPr>
            <w:tcW w:w="11757" w:type="dxa"/>
            <w:gridSpan w:val="11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ACCIONES DE MEJORAMIENTO PROPUESTAS POR EL FUNCIONARIO</w:t>
            </w:r>
          </w:p>
        </w:tc>
      </w:tr>
      <w:tr w:rsidR="00FF634B">
        <w:tc>
          <w:tcPr>
            <w:tcW w:w="1134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N°</w:t>
            </w:r>
          </w:p>
        </w:tc>
        <w:tc>
          <w:tcPr>
            <w:tcW w:w="2466" w:type="dxa"/>
            <w:gridSpan w:val="2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DESCRIPCION DEL HALLAZGO</w:t>
            </w:r>
          </w:p>
        </w:tc>
        <w:tc>
          <w:tcPr>
            <w:tcW w:w="2637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ACCION CORRECTIVA EJECUTAR</w:t>
            </w:r>
          </w:p>
        </w:tc>
        <w:tc>
          <w:tcPr>
            <w:tcW w:w="1503" w:type="dxa"/>
            <w:gridSpan w:val="2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META</w:t>
            </w:r>
          </w:p>
        </w:tc>
        <w:tc>
          <w:tcPr>
            <w:tcW w:w="1440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FECHA DE INICIO</w:t>
            </w:r>
          </w:p>
        </w:tc>
        <w:tc>
          <w:tcPr>
            <w:tcW w:w="1568" w:type="dxa"/>
            <w:gridSpan w:val="2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FECHA DE TERMINACION</w:t>
            </w:r>
          </w:p>
        </w:tc>
        <w:tc>
          <w:tcPr>
            <w:tcW w:w="1418" w:type="dxa"/>
            <w:gridSpan w:val="2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INDICADOR</w:t>
            </w:r>
          </w:p>
        </w:tc>
        <w:tc>
          <w:tcPr>
            <w:tcW w:w="2111" w:type="dxa"/>
            <w:gridSpan w:val="2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OBSERVACIONES DE CONTROL INTERNO</w:t>
            </w:r>
          </w:p>
        </w:tc>
        <w:tc>
          <w:tcPr>
            <w:tcW w:w="1080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CALIFICA-CION</w:t>
            </w:r>
          </w:p>
        </w:tc>
      </w:tr>
      <w:tr w:rsidR="00FF634B">
        <w:trPr>
          <w:trHeight w:val="2890"/>
        </w:trPr>
        <w:tc>
          <w:tcPr>
            <w:tcW w:w="1134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2466" w:type="dxa"/>
            <w:gridSpan w:val="2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Se evidencia elaboración de acto administrativo que conforma el COPASST dentro de la entidad para la vigencia 2024-2026, aunque no se encuentra formalizado.</w:t>
            </w:r>
          </w:p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Igualmente, no se evidencian las actas mensuales de reunión del COPASST 2024.</w:t>
            </w:r>
          </w:p>
        </w:tc>
        <w:tc>
          <w:tcPr>
            <w:tcW w:w="2637" w:type="dxa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Formalización mediante resolución y gestión de las reuniones para elaboración de actas.</w:t>
            </w:r>
          </w:p>
        </w:tc>
        <w:tc>
          <w:tcPr>
            <w:tcW w:w="1503" w:type="dxa"/>
            <w:gridSpan w:val="2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Documento Resolución conformación de Copasst</w:t>
            </w:r>
          </w:p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Actas de reunión hasta diciembre 2024.</w:t>
            </w:r>
          </w:p>
        </w:tc>
        <w:tc>
          <w:tcPr>
            <w:tcW w:w="1440" w:type="dxa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02/12/2024</w:t>
            </w:r>
          </w:p>
        </w:tc>
        <w:tc>
          <w:tcPr>
            <w:tcW w:w="1568" w:type="dxa"/>
            <w:gridSpan w:val="2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30/12/2024</w:t>
            </w:r>
          </w:p>
        </w:tc>
        <w:tc>
          <w:tcPr>
            <w:tcW w:w="1418" w:type="dxa"/>
            <w:gridSpan w:val="2"/>
          </w:tcPr>
          <w:p w:rsidR="00FF634B" w:rsidRDefault="007F67F6">
            <w:pPr>
              <w:ind w:left="-141" w:right="-137" w:hanging="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Documentación completa del Copasst hasta 30/12/24</w:t>
            </w:r>
          </w:p>
        </w:tc>
        <w:tc>
          <w:tcPr>
            <w:tcW w:w="2111" w:type="dxa"/>
            <w:gridSpan w:val="2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Se formalizó la conformación del COPASST mediante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Resolución 00103 del 30 de julio de 2024</w:t>
            </w:r>
            <w:r>
              <w:rPr>
                <w:rFonts w:ascii="Arial" w:eastAsia="Arial" w:hAnsi="Arial" w:cs="Arial"/>
                <w:sz w:val="20"/>
                <w:szCs w:val="20"/>
              </w:rPr>
              <w:t>, y se encuentra al día en sus actas de reunión.</w:t>
            </w:r>
          </w:p>
          <w:p w:rsidR="00FF634B" w:rsidRDefault="00AC711F">
            <w:pPr>
              <w:ind w:hanging="2"/>
              <w:jc w:val="both"/>
              <w:rPr>
                <w:rFonts w:ascii="Arial" w:eastAsia="Arial" w:hAnsi="Arial" w:cs="Arial"/>
                <w:color w:val="0000FF"/>
                <w:sz w:val="20"/>
                <w:szCs w:val="20"/>
                <w:u w:val="single"/>
              </w:rPr>
            </w:pPr>
            <w:hyperlink r:id="rId11">
              <w:r w:rsidR="007F67F6">
                <w:rPr>
                  <w:rFonts w:ascii="Arial" w:eastAsia="Arial" w:hAnsi="Arial" w:cs="Arial"/>
                  <w:color w:val="0000FF"/>
                  <w:sz w:val="20"/>
                  <w:szCs w:val="20"/>
                  <w:u w:val="single"/>
                </w:rPr>
                <w:t>Ver registros:</w:t>
              </w:r>
            </w:hyperlink>
          </w:p>
          <w:p w:rsidR="00FF634B" w:rsidRDefault="00FF634B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Se evidencia cumplimiento.</w:t>
            </w:r>
          </w:p>
        </w:tc>
        <w:tc>
          <w:tcPr>
            <w:tcW w:w="1080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</w:tr>
      <w:tr w:rsidR="00FF634B" w:rsidTr="00AE747C">
        <w:trPr>
          <w:trHeight w:val="3079"/>
        </w:trPr>
        <w:tc>
          <w:tcPr>
            <w:tcW w:w="1134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4</w:t>
            </w:r>
          </w:p>
        </w:tc>
        <w:tc>
          <w:tcPr>
            <w:tcW w:w="2466" w:type="dxa"/>
            <w:gridSpan w:val="2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 hay documento que evidencie la conformación de la brigada de emergencia en la entidad</w:t>
            </w:r>
          </w:p>
        </w:tc>
        <w:tc>
          <w:tcPr>
            <w:tcW w:w="2637" w:type="dxa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Conformación Brigada de Emergencia para el AIM y actas de reuniones periódicas</w:t>
            </w:r>
          </w:p>
        </w:tc>
        <w:tc>
          <w:tcPr>
            <w:tcW w:w="1503" w:type="dxa"/>
            <w:gridSpan w:val="2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Actas de conformación y reuniones diligenciada y firmada por los integrantes.</w:t>
            </w:r>
          </w:p>
        </w:tc>
        <w:tc>
          <w:tcPr>
            <w:tcW w:w="1440" w:type="dxa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02/12/2024</w:t>
            </w:r>
          </w:p>
        </w:tc>
        <w:tc>
          <w:tcPr>
            <w:tcW w:w="1568" w:type="dxa"/>
            <w:gridSpan w:val="2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30/06/2025</w:t>
            </w:r>
          </w:p>
        </w:tc>
        <w:tc>
          <w:tcPr>
            <w:tcW w:w="1418" w:type="dxa"/>
            <w:gridSpan w:val="2"/>
          </w:tcPr>
          <w:p w:rsidR="00FF634B" w:rsidRDefault="007F67F6">
            <w:pPr>
              <w:ind w:left="-141" w:right="-137" w:hanging="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Registro con datos completos y firmas de los integrantes</w:t>
            </w:r>
          </w:p>
        </w:tc>
        <w:tc>
          <w:tcPr>
            <w:tcW w:w="2111" w:type="dxa"/>
            <w:gridSpan w:val="2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Se formalizó la conformación de la Brigada de Emergencia mediante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Resolución 00095 del 24 de junio de 2025</w:t>
            </w:r>
            <w:r>
              <w:rPr>
                <w:rFonts w:ascii="Arial" w:eastAsia="Arial" w:hAnsi="Arial" w:cs="Arial"/>
                <w:sz w:val="20"/>
                <w:szCs w:val="20"/>
              </w:rPr>
              <w:t>, se realizan reuniones y capacitaciones.</w:t>
            </w:r>
          </w:p>
          <w:p w:rsidR="00FF634B" w:rsidRDefault="00AC711F">
            <w:pPr>
              <w:ind w:hanging="2"/>
              <w:jc w:val="both"/>
              <w:rPr>
                <w:rFonts w:ascii="Arial" w:eastAsia="Arial" w:hAnsi="Arial" w:cs="Arial"/>
                <w:color w:val="0000FF"/>
                <w:sz w:val="20"/>
                <w:szCs w:val="20"/>
                <w:u w:val="single"/>
              </w:rPr>
            </w:pPr>
            <w:hyperlink r:id="rId12">
              <w:r w:rsidR="007F67F6">
                <w:rPr>
                  <w:rFonts w:ascii="Arial" w:eastAsia="Arial" w:hAnsi="Arial" w:cs="Arial"/>
                  <w:color w:val="0000FF"/>
                  <w:sz w:val="20"/>
                  <w:szCs w:val="20"/>
                  <w:u w:val="single"/>
                </w:rPr>
                <w:t>Ver registros:</w:t>
              </w:r>
            </w:hyperlink>
          </w:p>
          <w:p w:rsidR="00FF634B" w:rsidRDefault="00FF634B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:rsidR="00FF634B" w:rsidRDefault="00AE747C" w:rsidP="00AE747C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Se evidencia cumplimiento</w:t>
            </w:r>
          </w:p>
        </w:tc>
        <w:tc>
          <w:tcPr>
            <w:tcW w:w="1080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</w:tr>
      <w:tr w:rsidR="00FF634B" w:rsidTr="00AE747C">
        <w:trPr>
          <w:trHeight w:val="1095"/>
        </w:trPr>
        <w:tc>
          <w:tcPr>
            <w:tcW w:w="1134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2466" w:type="dxa"/>
            <w:gridSpan w:val="2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 se ha realizado inspección a los elementos de seguridad de la entidad, se evidencian hojas de seguridad de productos químicos, pero no se encuentra normalizado.</w:t>
            </w:r>
          </w:p>
        </w:tc>
        <w:tc>
          <w:tcPr>
            <w:tcW w:w="2637" w:type="dxa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Establecer las inspecciones periódicas de los equipos de emergencias. </w:t>
            </w:r>
          </w:p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Normalizar las hojas de seguridad de sustancias químicas. </w:t>
            </w:r>
          </w:p>
        </w:tc>
        <w:tc>
          <w:tcPr>
            <w:tcW w:w="1503" w:type="dxa"/>
            <w:gridSpan w:val="2"/>
          </w:tcPr>
          <w:p w:rsidR="00FF634B" w:rsidRDefault="007F67F6">
            <w:pPr>
              <w:ind w:right="-26"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Inspecciones periódicas de equipos asignadas y ejecutadas </w:t>
            </w:r>
          </w:p>
          <w:p w:rsidR="00FF634B" w:rsidRDefault="007F67F6">
            <w:pPr>
              <w:ind w:right="-168"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oportunamente.</w:t>
            </w:r>
          </w:p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HS normalizadas y socializadas.</w:t>
            </w:r>
          </w:p>
        </w:tc>
        <w:tc>
          <w:tcPr>
            <w:tcW w:w="1440" w:type="dxa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02/12/2024</w:t>
            </w:r>
          </w:p>
        </w:tc>
        <w:tc>
          <w:tcPr>
            <w:tcW w:w="1568" w:type="dxa"/>
            <w:gridSpan w:val="2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30/06/2025</w:t>
            </w:r>
          </w:p>
        </w:tc>
        <w:tc>
          <w:tcPr>
            <w:tcW w:w="1418" w:type="dxa"/>
            <w:gridSpan w:val="2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Inspecciones requeridas / Inspecciones realizadas</w:t>
            </w:r>
          </w:p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HS completas</w:t>
            </w:r>
          </w:p>
        </w:tc>
        <w:tc>
          <w:tcPr>
            <w:tcW w:w="2111" w:type="dxa"/>
            <w:gridSpan w:val="2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Quedó establecida la metodología para las inspecciones de seguridad con el apoyo del Copasst.</w:t>
            </w:r>
          </w:p>
          <w:p w:rsidR="00FF634B" w:rsidRDefault="00AC711F">
            <w:pPr>
              <w:ind w:hanging="2"/>
              <w:jc w:val="both"/>
              <w:rPr>
                <w:rFonts w:ascii="Arial" w:eastAsia="Arial" w:hAnsi="Arial" w:cs="Arial"/>
                <w:color w:val="0000FF"/>
                <w:sz w:val="20"/>
                <w:szCs w:val="20"/>
                <w:u w:val="single"/>
              </w:rPr>
            </w:pPr>
            <w:hyperlink r:id="rId13">
              <w:r w:rsidR="007F67F6">
                <w:rPr>
                  <w:rFonts w:ascii="Arial" w:eastAsia="Arial" w:hAnsi="Arial" w:cs="Arial"/>
                  <w:color w:val="0000FF"/>
                  <w:sz w:val="20"/>
                  <w:szCs w:val="20"/>
                  <w:u w:val="single"/>
                </w:rPr>
                <w:t>Ver registros:</w:t>
              </w:r>
            </w:hyperlink>
          </w:p>
          <w:p w:rsidR="00FF634B" w:rsidRDefault="00FF634B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:rsidR="00FF634B" w:rsidRDefault="007F67F6">
            <w:pPr>
              <w:ind w:left="-89" w:firstLine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Aunque se normalizaron 3 formatos de inspección de equipo</w:t>
            </w:r>
            <w:bookmarkStart w:id="0" w:name="_GoBack"/>
            <w:bookmarkEnd w:id="0"/>
            <w:r>
              <w:rPr>
                <w:rFonts w:ascii="Arial" w:eastAsia="Arial" w:hAnsi="Arial" w:cs="Arial"/>
                <w:sz w:val="20"/>
                <w:szCs w:val="20"/>
              </w:rPr>
              <w:t>s, no se encuentra normalizadas las hojas de seguridad de sustancias químicas.</w:t>
            </w:r>
          </w:p>
          <w:p w:rsidR="006C3FCF" w:rsidRPr="006C3FCF" w:rsidRDefault="00833DFF" w:rsidP="006C3FCF">
            <w:pPr>
              <w:ind w:left="-89" w:firstLine="0"/>
              <w:jc w:val="both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833DFF">
              <w:rPr>
                <w:rFonts w:ascii="Arial" w:eastAsia="Arial" w:hAnsi="Arial" w:cs="Arial"/>
                <w:color w:val="FF0000"/>
                <w:sz w:val="20"/>
                <w:szCs w:val="20"/>
              </w:rPr>
              <w:t xml:space="preserve">Avances en: </w:t>
            </w:r>
            <w:r w:rsidR="006C3FCF" w:rsidRPr="006C3FCF">
              <w:rPr>
                <w:rFonts w:ascii="Arial" w:eastAsia="Arial" w:hAnsi="Arial" w:cs="Arial"/>
                <w:color w:val="FF0000"/>
                <w:sz w:val="20"/>
                <w:szCs w:val="20"/>
              </w:rPr>
              <w:t>+ Inventario de productos químicos para labores de aseo.</w:t>
            </w:r>
          </w:p>
          <w:p w:rsidR="006C3FCF" w:rsidRPr="006C3FCF" w:rsidRDefault="006C3FCF" w:rsidP="006C3FCF">
            <w:pPr>
              <w:ind w:left="-89" w:firstLine="0"/>
              <w:jc w:val="both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6C3FCF">
              <w:rPr>
                <w:rFonts w:ascii="Arial" w:eastAsia="Arial" w:hAnsi="Arial" w:cs="Arial"/>
                <w:color w:val="FF0000"/>
                <w:sz w:val="20"/>
                <w:szCs w:val="20"/>
              </w:rPr>
              <w:t>+ Consulta y archivo de Hojas de Seguridad.</w:t>
            </w:r>
          </w:p>
          <w:p w:rsidR="00FF634B" w:rsidRDefault="00AC711F" w:rsidP="00AE747C">
            <w:pPr>
              <w:ind w:left="-89" w:firstLine="0"/>
              <w:jc w:val="both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hyperlink r:id="rId14" w:history="1">
              <w:r w:rsidR="006C3FCF" w:rsidRPr="00AE747C">
                <w:rPr>
                  <w:rStyle w:val="Hipervnculo"/>
                  <w:rFonts w:ascii="Arial" w:eastAsia="Arial" w:hAnsi="Arial" w:cs="Arial"/>
                  <w:sz w:val="20"/>
                  <w:szCs w:val="20"/>
                </w:rPr>
                <w:t>Riesgo Químico</w:t>
              </w:r>
            </w:hyperlink>
            <w:r w:rsidR="00AE747C">
              <w:rPr>
                <w:rFonts w:ascii="Arial" w:eastAsia="Arial" w:hAnsi="Arial" w:cs="Arial"/>
                <w:color w:val="FF0000"/>
                <w:sz w:val="20"/>
                <w:szCs w:val="20"/>
              </w:rPr>
              <w:t xml:space="preserve"> </w:t>
            </w:r>
          </w:p>
          <w:p w:rsidR="00AE747C" w:rsidRDefault="00AE747C" w:rsidP="00AE747C">
            <w:pPr>
              <w:ind w:left="-89" w:firstLine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080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</w:tr>
      <w:tr w:rsidR="00FF634B">
        <w:trPr>
          <w:trHeight w:val="4098"/>
        </w:trPr>
        <w:tc>
          <w:tcPr>
            <w:tcW w:w="1134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6</w:t>
            </w:r>
          </w:p>
        </w:tc>
        <w:tc>
          <w:tcPr>
            <w:tcW w:w="2466" w:type="dxa"/>
            <w:gridSpan w:val="2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Se cuenta con matriz de requisitos legales DGGI11.4 con fecha de ejecución del 19 de octubre de 2023 y fecha de verificación del 31 de diciembre de 2023, no se evidenció matriz actualizada ni porcentaje de cumplimiento. Decreto 1072 de 2015 Art 2.2.4.6.12 Numeral 15</w:t>
            </w:r>
          </w:p>
        </w:tc>
        <w:tc>
          <w:tcPr>
            <w:tcW w:w="2637" w:type="dxa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Seguimiento periódico a la actualización matriz de requisitos legales, y revisión de cumplimiento.</w:t>
            </w:r>
          </w:p>
        </w:tc>
        <w:tc>
          <w:tcPr>
            <w:tcW w:w="1503" w:type="dxa"/>
            <w:gridSpan w:val="2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Matriz de requisitos legales actualizada y con registro de cumplimiento.</w:t>
            </w:r>
          </w:p>
        </w:tc>
        <w:tc>
          <w:tcPr>
            <w:tcW w:w="1440" w:type="dxa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02/12/2024</w:t>
            </w:r>
          </w:p>
        </w:tc>
        <w:tc>
          <w:tcPr>
            <w:tcW w:w="1568" w:type="dxa"/>
            <w:gridSpan w:val="2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30/06/2025</w:t>
            </w:r>
          </w:p>
        </w:tc>
        <w:tc>
          <w:tcPr>
            <w:tcW w:w="1418" w:type="dxa"/>
            <w:gridSpan w:val="2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bookmarkStart w:id="1" w:name="_heading=h.rpnmyu5vutlz" w:colFirst="0" w:colLast="0"/>
            <w:bookmarkEnd w:id="1"/>
            <w:r>
              <w:rPr>
                <w:rFonts w:ascii="Arial" w:eastAsia="Arial" w:hAnsi="Arial" w:cs="Arial"/>
                <w:sz w:val="20"/>
                <w:szCs w:val="20"/>
              </w:rPr>
              <w:t>Requisitos legales por cumplir / Requisitos legales cumplidos</w:t>
            </w:r>
          </w:p>
        </w:tc>
        <w:tc>
          <w:tcPr>
            <w:tcW w:w="2111" w:type="dxa"/>
            <w:gridSpan w:val="2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Se complementa la Matriz actual con un modelo actualizado.</w:t>
            </w:r>
          </w:p>
          <w:p w:rsidR="00FF634B" w:rsidRDefault="00AC711F">
            <w:pPr>
              <w:ind w:hanging="2"/>
              <w:jc w:val="both"/>
              <w:rPr>
                <w:rFonts w:ascii="Arial" w:eastAsia="Arial" w:hAnsi="Arial" w:cs="Arial"/>
                <w:color w:val="0000FF"/>
                <w:sz w:val="20"/>
                <w:szCs w:val="20"/>
                <w:u w:val="single"/>
              </w:rPr>
            </w:pPr>
            <w:hyperlink r:id="rId15">
              <w:r w:rsidR="007F67F6">
                <w:rPr>
                  <w:rFonts w:ascii="Arial" w:eastAsia="Arial" w:hAnsi="Arial" w:cs="Arial"/>
                  <w:color w:val="0000FF"/>
                  <w:sz w:val="20"/>
                  <w:szCs w:val="20"/>
                  <w:u w:val="single"/>
                </w:rPr>
                <w:t>Ver registros:</w:t>
              </w:r>
            </w:hyperlink>
          </w:p>
          <w:p w:rsidR="00FF634B" w:rsidRDefault="00FF634B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Se evidencia cumplimiento parcial de la acción, a través de documento aportado.</w:t>
            </w:r>
          </w:p>
          <w:p w:rsidR="00B92D4B" w:rsidRPr="00B92D4B" w:rsidRDefault="00B92D4B" w:rsidP="00B92D4B">
            <w:pPr>
              <w:ind w:hanging="2"/>
              <w:jc w:val="both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B92D4B">
              <w:rPr>
                <w:rFonts w:ascii="Arial" w:eastAsia="Arial" w:hAnsi="Arial" w:cs="Arial"/>
                <w:color w:val="FF0000"/>
                <w:sz w:val="20"/>
                <w:szCs w:val="20"/>
              </w:rPr>
              <w:t xml:space="preserve">+ Avances en construcción de nueva matriz, con apoyo de contratista del área administrativo </w:t>
            </w:r>
          </w:p>
          <w:p w:rsidR="007F67F6" w:rsidRPr="00B92D4B" w:rsidRDefault="00AC711F" w:rsidP="00B92D4B">
            <w:pPr>
              <w:ind w:hanging="2"/>
              <w:jc w:val="both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hyperlink r:id="rId16" w:history="1">
              <w:r w:rsidR="00B92D4B" w:rsidRPr="00B92D4B">
                <w:rPr>
                  <w:rStyle w:val="Hipervnculo"/>
                  <w:rFonts w:ascii="Arial" w:eastAsia="Arial" w:hAnsi="Arial" w:cs="Arial"/>
                  <w:sz w:val="20"/>
                  <w:szCs w:val="20"/>
                </w:rPr>
                <w:t>Requisitos legales SST</w:t>
              </w:r>
            </w:hyperlink>
          </w:p>
          <w:p w:rsidR="00B92D4B" w:rsidRDefault="00B92D4B" w:rsidP="00B92D4B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080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</w:tr>
      <w:tr w:rsidR="00FF634B">
        <w:trPr>
          <w:trHeight w:val="2263"/>
        </w:trPr>
        <w:tc>
          <w:tcPr>
            <w:tcW w:w="1134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  <w:tc>
          <w:tcPr>
            <w:tcW w:w="2466" w:type="dxa"/>
            <w:gridSpan w:val="2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Se evidencia Plan de trabajo de SG-SST vigencia 2024, sin embargo, no se evidencia plan de capacitaciones específicamente. Decreto 1072 de 2015 Art 2.2.4.6.21 Numeral 3</w:t>
            </w:r>
          </w:p>
        </w:tc>
        <w:tc>
          <w:tcPr>
            <w:tcW w:w="2637" w:type="dxa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Establecer plan de capacitaciones ligado al plan de trabajo para la vigencia 2025.</w:t>
            </w:r>
          </w:p>
        </w:tc>
        <w:tc>
          <w:tcPr>
            <w:tcW w:w="1503" w:type="dxa"/>
            <w:gridSpan w:val="2"/>
          </w:tcPr>
          <w:p w:rsidR="00FF634B" w:rsidRDefault="007F67F6">
            <w:pPr>
              <w:ind w:right="-168"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Plan de </w:t>
            </w:r>
          </w:p>
          <w:p w:rsidR="00FF634B" w:rsidRDefault="007F67F6">
            <w:pPr>
              <w:ind w:right="-168"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capacitaciones</w:t>
            </w:r>
          </w:p>
          <w:p w:rsidR="00FF634B" w:rsidRDefault="007F67F6">
            <w:pPr>
              <w:ind w:right="-26" w:firstLine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vigencia 2025</w:t>
            </w:r>
          </w:p>
        </w:tc>
        <w:tc>
          <w:tcPr>
            <w:tcW w:w="1440" w:type="dxa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02/12/2024</w:t>
            </w:r>
          </w:p>
        </w:tc>
        <w:tc>
          <w:tcPr>
            <w:tcW w:w="1568" w:type="dxa"/>
            <w:gridSpan w:val="2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30/06/2025</w:t>
            </w:r>
          </w:p>
        </w:tc>
        <w:tc>
          <w:tcPr>
            <w:tcW w:w="1418" w:type="dxa"/>
            <w:gridSpan w:val="2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Actividades planeadas / Actividades ejecutadas</w:t>
            </w:r>
          </w:p>
        </w:tc>
        <w:tc>
          <w:tcPr>
            <w:tcW w:w="2111" w:type="dxa"/>
            <w:gridSpan w:val="2"/>
          </w:tcPr>
          <w:p w:rsidR="00FF634B" w:rsidRDefault="007F67F6">
            <w:pPr>
              <w:ind w:left="-89" w:firstLine="0"/>
              <w:jc w:val="both"/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Se han realizado las diferentes actividades y capacitaciones programadas en el SGSST.  </w:t>
            </w:r>
          </w:p>
          <w:p w:rsidR="00FF634B" w:rsidRDefault="00AC711F">
            <w:pPr>
              <w:ind w:left="-89" w:firstLine="0"/>
              <w:jc w:val="both"/>
              <w:rPr>
                <w:rFonts w:ascii="Arial" w:eastAsia="Arial" w:hAnsi="Arial" w:cs="Arial"/>
                <w:color w:val="0000FF"/>
                <w:sz w:val="20"/>
                <w:szCs w:val="20"/>
                <w:u w:val="single"/>
              </w:rPr>
            </w:pPr>
            <w:hyperlink r:id="rId17">
              <w:r w:rsidR="007F67F6">
                <w:rPr>
                  <w:rFonts w:ascii="Arial" w:eastAsia="Arial" w:hAnsi="Arial" w:cs="Arial"/>
                  <w:color w:val="0000FF"/>
                  <w:sz w:val="20"/>
                  <w:szCs w:val="20"/>
                  <w:u w:val="single"/>
                </w:rPr>
                <w:t>Ver registros:</w:t>
              </w:r>
            </w:hyperlink>
          </w:p>
          <w:p w:rsidR="00FF634B" w:rsidRDefault="00FF634B">
            <w:pPr>
              <w:ind w:left="-89" w:firstLine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:rsidR="00FF634B" w:rsidRDefault="007F67F6">
            <w:pPr>
              <w:ind w:left="-89" w:firstLine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Se tendrá en cuenta, para construir el próximo plan de trabajo.</w:t>
            </w:r>
          </w:p>
        </w:tc>
        <w:tc>
          <w:tcPr>
            <w:tcW w:w="1080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</w:tr>
      <w:tr w:rsidR="00FF634B">
        <w:trPr>
          <w:trHeight w:val="45"/>
        </w:trPr>
        <w:tc>
          <w:tcPr>
            <w:tcW w:w="1134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  <w:tc>
          <w:tcPr>
            <w:tcW w:w="2466" w:type="dxa"/>
            <w:gridSpan w:val="2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Se identifica matriz de identificación de peligros y evaluación de riesgos y determinación de controles elaborada con base en la GTC 45 DGGI13.3 con fecha del 13 de octubre de 2023, pero no se registra </w:t>
            </w: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controles y seguimientos a la misma.</w:t>
            </w:r>
          </w:p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Decreto 1072 de 2015 Art 2.2.4.6.23 Numeral 4</w:t>
            </w:r>
          </w:p>
        </w:tc>
        <w:tc>
          <w:tcPr>
            <w:tcW w:w="2637" w:type="dxa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Normalizar y socializar nueva versión en Matriz de IPEVAR</w:t>
            </w:r>
          </w:p>
        </w:tc>
        <w:tc>
          <w:tcPr>
            <w:tcW w:w="1503" w:type="dxa"/>
            <w:gridSpan w:val="2"/>
          </w:tcPr>
          <w:p w:rsidR="00FF634B" w:rsidRDefault="007F67F6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Matriz de IPEVAR normalizada, socializada, y con registro de seguimiento a los controles.</w:t>
            </w:r>
          </w:p>
        </w:tc>
        <w:tc>
          <w:tcPr>
            <w:tcW w:w="1440" w:type="dxa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02/12/2024</w:t>
            </w:r>
          </w:p>
        </w:tc>
        <w:tc>
          <w:tcPr>
            <w:tcW w:w="1568" w:type="dxa"/>
            <w:gridSpan w:val="2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30/06/2025</w:t>
            </w:r>
          </w:p>
        </w:tc>
        <w:tc>
          <w:tcPr>
            <w:tcW w:w="1418" w:type="dxa"/>
            <w:gridSpan w:val="2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Seguimiento a la gestión de los peligros y evaluación de los riesgos.</w:t>
            </w:r>
          </w:p>
        </w:tc>
        <w:tc>
          <w:tcPr>
            <w:tcW w:w="2111" w:type="dxa"/>
            <w:gridSpan w:val="2"/>
          </w:tcPr>
          <w:p w:rsidR="00FF634B" w:rsidRDefault="007F67F6">
            <w:pPr>
              <w:ind w:left="-89" w:firstLine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La matriz IPVAR modificada el año anterior y está actualizada</w:t>
            </w:r>
          </w:p>
          <w:p w:rsidR="00FF634B" w:rsidRDefault="00AC711F">
            <w:pPr>
              <w:ind w:left="-89" w:firstLine="0"/>
              <w:jc w:val="both"/>
              <w:rPr>
                <w:rFonts w:ascii="Arial" w:eastAsia="Arial" w:hAnsi="Arial" w:cs="Arial"/>
                <w:color w:val="0000FF"/>
                <w:sz w:val="20"/>
                <w:szCs w:val="20"/>
                <w:u w:val="single"/>
              </w:rPr>
            </w:pPr>
            <w:hyperlink r:id="rId18">
              <w:r w:rsidR="007F67F6">
                <w:rPr>
                  <w:rFonts w:ascii="Arial" w:eastAsia="Arial" w:hAnsi="Arial" w:cs="Arial"/>
                  <w:color w:val="0000FF"/>
                  <w:sz w:val="20"/>
                  <w:szCs w:val="20"/>
                  <w:u w:val="single"/>
                </w:rPr>
                <w:t>Ver registros:</w:t>
              </w:r>
            </w:hyperlink>
          </w:p>
          <w:p w:rsidR="00FF634B" w:rsidRDefault="00FF634B">
            <w:pPr>
              <w:ind w:left="-89" w:firstLine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:rsidR="00FF634B" w:rsidRDefault="007F67F6">
            <w:pPr>
              <w:ind w:left="-89" w:firstLine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Se evidencia el documento actualizado DGGI13 MATRIZ DE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IPERDCy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con seguimiento a noviembre 2025.</w:t>
            </w:r>
          </w:p>
        </w:tc>
        <w:tc>
          <w:tcPr>
            <w:tcW w:w="1080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2</w:t>
            </w:r>
          </w:p>
        </w:tc>
      </w:tr>
      <w:tr w:rsidR="00FF634B">
        <w:trPr>
          <w:trHeight w:val="45"/>
        </w:trPr>
        <w:tc>
          <w:tcPr>
            <w:tcW w:w="1134" w:type="dxa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9</w:t>
            </w:r>
          </w:p>
        </w:tc>
        <w:tc>
          <w:tcPr>
            <w:tcW w:w="2466" w:type="dxa"/>
            <w:gridSpan w:val="2"/>
            <w:vAlign w:val="center"/>
          </w:tcPr>
          <w:p w:rsidR="00FF634B" w:rsidRDefault="00FF634B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637" w:type="dxa"/>
            <w:vAlign w:val="center"/>
          </w:tcPr>
          <w:p w:rsidR="00FF634B" w:rsidRDefault="00FF634B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503" w:type="dxa"/>
            <w:gridSpan w:val="2"/>
            <w:vAlign w:val="center"/>
          </w:tcPr>
          <w:p w:rsidR="00FF634B" w:rsidRDefault="00FF634B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440" w:type="dxa"/>
            <w:vAlign w:val="center"/>
          </w:tcPr>
          <w:p w:rsidR="00FF634B" w:rsidRDefault="00FF634B">
            <w:pPr>
              <w:ind w:hanging="2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568" w:type="dxa"/>
            <w:gridSpan w:val="2"/>
            <w:vAlign w:val="center"/>
          </w:tcPr>
          <w:p w:rsidR="00FF634B" w:rsidRDefault="00FF634B">
            <w:pPr>
              <w:ind w:hanging="2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FF634B" w:rsidRDefault="00FF634B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111" w:type="dxa"/>
            <w:gridSpan w:val="2"/>
            <w:vAlign w:val="center"/>
          </w:tcPr>
          <w:p w:rsidR="00FF634B" w:rsidRDefault="00FF634B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080" w:type="dxa"/>
          </w:tcPr>
          <w:p w:rsidR="00FF634B" w:rsidRDefault="00FF634B">
            <w:pPr>
              <w:ind w:hanging="2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FF634B">
        <w:trPr>
          <w:trHeight w:val="45"/>
        </w:trPr>
        <w:tc>
          <w:tcPr>
            <w:tcW w:w="14277" w:type="dxa"/>
            <w:gridSpan w:val="13"/>
            <w:vAlign w:val="center"/>
          </w:tcPr>
          <w:p w:rsidR="00FF634B" w:rsidRDefault="007F67F6">
            <w:pPr>
              <w:ind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PUNTAJE TOTAL</w:t>
            </w:r>
          </w:p>
        </w:tc>
        <w:tc>
          <w:tcPr>
            <w:tcW w:w="1080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14</w:t>
            </w:r>
          </w:p>
        </w:tc>
      </w:tr>
      <w:tr w:rsidR="00FF634B">
        <w:trPr>
          <w:trHeight w:val="45"/>
        </w:trPr>
        <w:tc>
          <w:tcPr>
            <w:tcW w:w="14277" w:type="dxa"/>
            <w:gridSpan w:val="13"/>
            <w:vAlign w:val="center"/>
          </w:tcPr>
          <w:p w:rsidR="00FF634B" w:rsidRDefault="007F67F6">
            <w:pPr>
              <w:ind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PROMEDIO LOGRADO</w:t>
            </w:r>
          </w:p>
        </w:tc>
        <w:tc>
          <w:tcPr>
            <w:tcW w:w="1080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1.75</w:t>
            </w:r>
          </w:p>
        </w:tc>
      </w:tr>
      <w:tr w:rsidR="00FF634B">
        <w:trPr>
          <w:trHeight w:val="45"/>
        </w:trPr>
        <w:tc>
          <w:tcPr>
            <w:tcW w:w="14277" w:type="dxa"/>
            <w:gridSpan w:val="13"/>
            <w:vAlign w:val="center"/>
          </w:tcPr>
          <w:p w:rsidR="00FF634B" w:rsidRDefault="007F67F6">
            <w:pPr>
              <w:ind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NIVEL DE CUMPLIMIENTO</w:t>
            </w:r>
          </w:p>
        </w:tc>
        <w:tc>
          <w:tcPr>
            <w:tcW w:w="1080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MCP</w:t>
            </w:r>
          </w:p>
        </w:tc>
      </w:tr>
      <w:tr w:rsidR="00FF634B">
        <w:trPr>
          <w:trHeight w:val="45"/>
        </w:trPr>
        <w:tc>
          <w:tcPr>
            <w:tcW w:w="14277" w:type="dxa"/>
            <w:gridSpan w:val="13"/>
            <w:vAlign w:val="center"/>
          </w:tcPr>
          <w:p w:rsidR="00FF634B" w:rsidRDefault="007F67F6">
            <w:pPr>
              <w:ind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RESULTADO PORCENTUAL</w:t>
            </w:r>
          </w:p>
        </w:tc>
        <w:tc>
          <w:tcPr>
            <w:tcW w:w="1080" w:type="dxa"/>
            <w:vAlign w:val="center"/>
          </w:tcPr>
          <w:p w:rsidR="00FF634B" w:rsidRDefault="007F67F6">
            <w:pPr>
              <w:ind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bookmarkStart w:id="2" w:name="_heading=h.yyxt4oyus4ng" w:colFirst="0" w:colLast="0"/>
            <w:bookmarkEnd w:id="2"/>
            <w:r>
              <w:rPr>
                <w:rFonts w:ascii="Arial" w:eastAsia="Arial" w:hAnsi="Arial" w:cs="Arial"/>
                <w:sz w:val="20"/>
                <w:szCs w:val="20"/>
              </w:rPr>
              <w:t>87.5%</w:t>
            </w:r>
          </w:p>
        </w:tc>
      </w:tr>
      <w:tr w:rsidR="00FF634B">
        <w:trPr>
          <w:trHeight w:val="381"/>
        </w:trPr>
        <w:tc>
          <w:tcPr>
            <w:tcW w:w="7560" w:type="dxa"/>
            <w:gridSpan w:val="5"/>
            <w:vAlign w:val="center"/>
          </w:tcPr>
          <w:p w:rsidR="00FF634B" w:rsidRDefault="00FF634B">
            <w:pPr>
              <w:ind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797" w:type="dxa"/>
            <w:gridSpan w:val="9"/>
            <w:vAlign w:val="center"/>
          </w:tcPr>
          <w:p w:rsidR="00FF634B" w:rsidRDefault="007F67F6">
            <w:pPr>
              <w:ind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Elaboró</w:t>
            </w:r>
          </w:p>
          <w:p w:rsidR="00FF634B" w:rsidRDefault="00FF634B">
            <w:pPr>
              <w:ind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FF634B">
        <w:trPr>
          <w:trHeight w:val="423"/>
        </w:trPr>
        <w:tc>
          <w:tcPr>
            <w:tcW w:w="7560" w:type="dxa"/>
            <w:gridSpan w:val="5"/>
            <w:vAlign w:val="center"/>
          </w:tcPr>
          <w:p w:rsidR="00FF634B" w:rsidRDefault="007F67F6">
            <w:pPr>
              <w:ind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Asesor de Control Interno</w:t>
            </w:r>
          </w:p>
        </w:tc>
        <w:tc>
          <w:tcPr>
            <w:tcW w:w="7797" w:type="dxa"/>
            <w:gridSpan w:val="9"/>
            <w:vAlign w:val="center"/>
          </w:tcPr>
          <w:p w:rsidR="00FF634B" w:rsidRDefault="00FF634B">
            <w:pPr>
              <w:ind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FF634B">
        <w:trPr>
          <w:trHeight w:val="465"/>
        </w:trPr>
        <w:tc>
          <w:tcPr>
            <w:tcW w:w="7560" w:type="dxa"/>
            <w:gridSpan w:val="5"/>
            <w:vAlign w:val="center"/>
          </w:tcPr>
          <w:p w:rsidR="00FF634B" w:rsidRDefault="007F67F6">
            <w:pPr>
              <w:ind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Firma</w:t>
            </w:r>
          </w:p>
        </w:tc>
        <w:tc>
          <w:tcPr>
            <w:tcW w:w="7797" w:type="dxa"/>
            <w:gridSpan w:val="9"/>
            <w:vAlign w:val="center"/>
          </w:tcPr>
          <w:p w:rsidR="00FF634B" w:rsidRDefault="007F67F6">
            <w:pPr>
              <w:ind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Firma</w:t>
            </w:r>
          </w:p>
        </w:tc>
      </w:tr>
    </w:tbl>
    <w:p w:rsidR="00FF634B" w:rsidRDefault="00FF634B">
      <w:pPr>
        <w:ind w:hanging="2"/>
        <w:rPr>
          <w:rFonts w:ascii="Arial" w:eastAsia="Arial" w:hAnsi="Arial" w:cs="Arial"/>
          <w:sz w:val="20"/>
          <w:szCs w:val="20"/>
        </w:rPr>
      </w:pPr>
    </w:p>
    <w:sectPr w:rsidR="00FF634B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5840" w:h="12240" w:orient="landscape"/>
      <w:pgMar w:top="1418" w:right="1418" w:bottom="1134" w:left="1418" w:header="426" w:footer="47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C711F" w:rsidRDefault="00AC711F">
      <w:r>
        <w:separator/>
      </w:r>
    </w:p>
  </w:endnote>
  <w:endnote w:type="continuationSeparator" w:id="0">
    <w:p w:rsidR="00AC711F" w:rsidRDefault="00AC71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4E5812C3-4324-4164-A5E1-41F5ABCC9BE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2" w:fontKey="{E0B2720D-F9A3-4645-B1BB-A1795D706158}"/>
    <w:embedBold r:id="rId3" w:fontKey="{A58F7DEB-DC3B-436E-A041-2B8210DA5E4C}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  <w:embedRegular r:id="rId4" w:fontKey="{A407FB7F-31BD-400B-8DB8-62FC79BAE01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1B4F00D-869A-4A4C-8331-D2B6C7E8E51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CA38CF1-CC2B-4635-A91D-BDD12E8F5B14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F67F6" w:rsidRDefault="007F67F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F67F6" w:rsidRDefault="007F67F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hanging="2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F67F6" w:rsidRDefault="007F67F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C711F" w:rsidRDefault="00AC711F">
      <w:r>
        <w:separator/>
      </w:r>
    </w:p>
  </w:footnote>
  <w:footnote w:type="continuationSeparator" w:id="0">
    <w:p w:rsidR="00AC711F" w:rsidRDefault="00AC711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F67F6" w:rsidRDefault="007F67F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F67F6" w:rsidRDefault="007F67F6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firstLine="0"/>
      <w:rPr>
        <w:color w:val="000000"/>
      </w:rPr>
    </w:pPr>
  </w:p>
  <w:tbl>
    <w:tblPr>
      <w:tblStyle w:val="a0"/>
      <w:tblW w:w="15162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2093"/>
      <w:gridCol w:w="10146"/>
      <w:gridCol w:w="2923"/>
    </w:tblGrid>
    <w:tr w:rsidR="007F67F6">
      <w:trPr>
        <w:trHeight w:val="20"/>
        <w:jc w:val="center"/>
      </w:trPr>
      <w:tc>
        <w:tcPr>
          <w:tcW w:w="2093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:rsidR="007F67F6" w:rsidRDefault="007F67F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ind w:hanging="2"/>
            <w:jc w:val="center"/>
            <w:rPr>
              <w:color w:val="000000"/>
            </w:rPr>
          </w:pPr>
          <w:r>
            <w:rPr>
              <w:noProof/>
              <w:lang w:val="es-CO"/>
            </w:rPr>
            <w:drawing>
              <wp:inline distT="0" distB="0" distL="0" distR="0">
                <wp:extent cx="889000" cy="405130"/>
                <wp:effectExtent l="0" t="0" r="0" b="0"/>
                <wp:docPr id="1" name="image1.png" descr="https://lh5.googleusercontent.com/IzCS6sGLj2e6KFAwxQ7DUsbxVqaFIG1DKLH8PE7Jm2zX9EIJHPneS7OJZQ6BaRloDpWSl6S7Xj7t3cW8gTG85262Lbc64Nj0E13Hoqk6y2L0OsKHz67Gz_Sq9j9u1Tb6boRF2QE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https://lh5.googleusercontent.com/IzCS6sGLj2e6KFAwxQ7DUsbxVqaFIG1DKLH8PE7Jm2zX9EIJHPneS7OJZQ6BaRloDpWSl6S7Xj7t3cW8gTG85262Lbc64Nj0E13Hoqk6y2L0OsKHz67Gz_Sq9j9u1Tb6boRF2QE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89000" cy="40513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146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:rsidR="007F67F6" w:rsidRDefault="007F67F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ind w:left="1" w:hanging="3"/>
            <w:jc w:val="center"/>
            <w:rPr>
              <w:rFonts w:ascii="Arial Narrow" w:eastAsia="Arial Narrow" w:hAnsi="Arial Narrow" w:cs="Arial Narrow"/>
              <w:color w:val="000000"/>
              <w:sz w:val="32"/>
              <w:szCs w:val="32"/>
            </w:rPr>
          </w:pPr>
          <w:r>
            <w:rPr>
              <w:rFonts w:ascii="Arial Narrow" w:eastAsia="Arial Narrow" w:hAnsi="Arial Narrow" w:cs="Arial Narrow"/>
              <w:b/>
              <w:bCs/>
              <w:color w:val="000000"/>
              <w:sz w:val="32"/>
              <w:szCs w:val="32"/>
            </w:rPr>
            <w:t>SEGUIMIENTO Y/O EVALUACION PLAN DE MEJORAMIENTO POR PROCESOS</w:t>
          </w:r>
        </w:p>
      </w:tc>
      <w:tc>
        <w:tcPr>
          <w:tcW w:w="2923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606060"/>
          <w:vAlign w:val="center"/>
        </w:tcPr>
        <w:p w:rsidR="007F67F6" w:rsidRDefault="007F67F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ind w:left="2" w:hanging="4"/>
            <w:jc w:val="center"/>
            <w:rPr>
              <w:rFonts w:ascii="Impact" w:eastAsia="Impact" w:hAnsi="Impact" w:cs="Impact"/>
              <w:color w:val="FFFFFF"/>
              <w:sz w:val="40"/>
              <w:szCs w:val="40"/>
            </w:rPr>
          </w:pPr>
          <w:r>
            <w:rPr>
              <w:rFonts w:ascii="Impact" w:eastAsia="Impact" w:hAnsi="Impact" w:cs="Impact"/>
              <w:color w:val="FFFFFF"/>
              <w:sz w:val="40"/>
              <w:szCs w:val="40"/>
            </w:rPr>
            <w:t>FOSE11.2</w:t>
          </w:r>
        </w:p>
      </w:tc>
    </w:tr>
    <w:tr w:rsidR="007F67F6">
      <w:trPr>
        <w:trHeight w:val="20"/>
        <w:jc w:val="center"/>
      </w:trPr>
      <w:tc>
        <w:tcPr>
          <w:tcW w:w="2093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:rsidR="007F67F6" w:rsidRDefault="007F67F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ind w:firstLine="0"/>
            <w:rPr>
              <w:rFonts w:ascii="Impact" w:eastAsia="Impact" w:hAnsi="Impact" w:cs="Impact"/>
              <w:color w:val="FFFFFF"/>
              <w:sz w:val="40"/>
              <w:szCs w:val="40"/>
            </w:rPr>
          </w:pPr>
        </w:p>
      </w:tc>
      <w:tc>
        <w:tcPr>
          <w:tcW w:w="10146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:rsidR="007F67F6" w:rsidRDefault="007F67F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ind w:firstLine="0"/>
            <w:rPr>
              <w:rFonts w:ascii="Impact" w:eastAsia="Impact" w:hAnsi="Impact" w:cs="Impact"/>
              <w:color w:val="FFFFFF"/>
              <w:sz w:val="40"/>
              <w:szCs w:val="40"/>
            </w:rPr>
          </w:pPr>
        </w:p>
      </w:tc>
      <w:tc>
        <w:tcPr>
          <w:tcW w:w="2923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:rsidR="007F67F6" w:rsidRDefault="007F67F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ind w:hanging="2"/>
            <w:jc w:val="center"/>
            <w:rPr>
              <w:rFonts w:ascii="Arial Narrow" w:eastAsia="Arial Narrow" w:hAnsi="Arial Narrow" w:cs="Arial Narrow"/>
              <w:color w:val="000000"/>
              <w:sz w:val="16"/>
              <w:szCs w:val="16"/>
            </w:rPr>
          </w:pPr>
          <w:r>
            <w:rPr>
              <w:rFonts w:ascii="Arial Narrow" w:eastAsia="Arial Narrow" w:hAnsi="Arial Narrow" w:cs="Arial Narrow"/>
              <w:b/>
              <w:bCs/>
              <w:color w:val="000000"/>
              <w:sz w:val="16"/>
              <w:szCs w:val="16"/>
            </w:rPr>
            <w:t xml:space="preserve">Página </w:t>
          </w:r>
          <w:r>
            <w:rPr>
              <w:rFonts w:ascii="Arial Narrow" w:eastAsia="Arial Narrow" w:hAnsi="Arial Narrow" w:cs="Arial Narrow"/>
              <w:b/>
              <w:bCs/>
              <w:color w:val="000000"/>
              <w:sz w:val="16"/>
              <w:szCs w:val="16"/>
            </w:rPr>
            <w:fldChar w:fldCharType="begin"/>
          </w:r>
          <w:r>
            <w:rPr>
              <w:rFonts w:ascii="Arial Narrow" w:eastAsia="Arial Narrow" w:hAnsi="Arial Narrow" w:cs="Arial Narrow"/>
              <w:b/>
              <w:bCs/>
              <w:color w:val="000000"/>
              <w:sz w:val="16"/>
              <w:szCs w:val="16"/>
            </w:rPr>
            <w:instrText>PAGE</w:instrText>
          </w:r>
          <w:r>
            <w:rPr>
              <w:rFonts w:ascii="Arial Narrow" w:eastAsia="Arial Narrow" w:hAnsi="Arial Narrow" w:cs="Arial Narrow"/>
              <w:b/>
              <w:bCs/>
              <w:color w:val="000000"/>
              <w:sz w:val="16"/>
              <w:szCs w:val="16"/>
            </w:rPr>
            <w:fldChar w:fldCharType="separate"/>
          </w:r>
          <w:r w:rsidR="00833DFF">
            <w:rPr>
              <w:rFonts w:ascii="Arial Narrow" w:eastAsia="Arial Narrow" w:hAnsi="Arial Narrow" w:cs="Arial Narrow"/>
              <w:b/>
              <w:bCs/>
              <w:noProof/>
              <w:color w:val="000000"/>
              <w:sz w:val="16"/>
              <w:szCs w:val="16"/>
            </w:rPr>
            <w:t>5</w:t>
          </w:r>
          <w:r>
            <w:rPr>
              <w:rFonts w:ascii="Arial Narrow" w:eastAsia="Arial Narrow" w:hAnsi="Arial Narrow" w:cs="Arial Narrow"/>
              <w:b/>
              <w:bCs/>
              <w:color w:val="000000"/>
              <w:sz w:val="16"/>
              <w:szCs w:val="16"/>
            </w:rPr>
            <w:fldChar w:fldCharType="end"/>
          </w:r>
          <w:r>
            <w:rPr>
              <w:rFonts w:ascii="Arial Narrow" w:eastAsia="Arial Narrow" w:hAnsi="Arial Narrow" w:cs="Arial Narrow"/>
              <w:b/>
              <w:bCs/>
              <w:color w:val="000000"/>
              <w:sz w:val="16"/>
              <w:szCs w:val="16"/>
            </w:rPr>
            <w:t xml:space="preserve"> de </w:t>
          </w:r>
          <w:r>
            <w:rPr>
              <w:rFonts w:ascii="Arial Narrow" w:eastAsia="Arial Narrow" w:hAnsi="Arial Narrow" w:cs="Arial Narrow"/>
              <w:b/>
              <w:bCs/>
              <w:color w:val="000000"/>
              <w:sz w:val="16"/>
              <w:szCs w:val="16"/>
            </w:rPr>
            <w:fldChar w:fldCharType="begin"/>
          </w:r>
          <w:r>
            <w:rPr>
              <w:rFonts w:ascii="Arial Narrow" w:eastAsia="Arial Narrow" w:hAnsi="Arial Narrow" w:cs="Arial Narrow"/>
              <w:b/>
              <w:bCs/>
              <w:color w:val="000000"/>
              <w:sz w:val="16"/>
              <w:szCs w:val="16"/>
            </w:rPr>
            <w:instrText>NUMPAGES</w:instrText>
          </w:r>
          <w:r>
            <w:rPr>
              <w:rFonts w:ascii="Arial Narrow" w:eastAsia="Arial Narrow" w:hAnsi="Arial Narrow" w:cs="Arial Narrow"/>
              <w:b/>
              <w:bCs/>
              <w:color w:val="000000"/>
              <w:sz w:val="16"/>
              <w:szCs w:val="16"/>
            </w:rPr>
            <w:fldChar w:fldCharType="separate"/>
          </w:r>
          <w:r w:rsidR="00833DFF">
            <w:rPr>
              <w:rFonts w:ascii="Arial Narrow" w:eastAsia="Arial Narrow" w:hAnsi="Arial Narrow" w:cs="Arial Narrow"/>
              <w:b/>
              <w:bCs/>
              <w:noProof/>
              <w:color w:val="000000"/>
              <w:sz w:val="16"/>
              <w:szCs w:val="16"/>
            </w:rPr>
            <w:t>5</w:t>
          </w:r>
          <w:r>
            <w:rPr>
              <w:rFonts w:ascii="Arial Narrow" w:eastAsia="Arial Narrow" w:hAnsi="Arial Narrow" w:cs="Arial Narrow"/>
              <w:b/>
              <w:bCs/>
              <w:color w:val="000000"/>
              <w:sz w:val="16"/>
              <w:szCs w:val="16"/>
            </w:rPr>
            <w:fldChar w:fldCharType="end"/>
          </w:r>
        </w:p>
      </w:tc>
    </w:tr>
  </w:tbl>
  <w:p w:rsidR="007F67F6" w:rsidRDefault="007F67F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hanging="2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F67F6" w:rsidRDefault="007F67F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hanging="2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634B"/>
    <w:rsid w:val="006C3FCF"/>
    <w:rsid w:val="007F67F6"/>
    <w:rsid w:val="00833DFF"/>
    <w:rsid w:val="00AC711F"/>
    <w:rsid w:val="00AE747C"/>
    <w:rsid w:val="00B92D4B"/>
    <w:rsid w:val="00F92369"/>
    <w:rsid w:val="00FF63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49D597B-39D4-4001-BCED-A4D36359A0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es" w:eastAsia="es-CO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unhideWhenUsed/>
    <w:rsid w:val="00AE747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T9m4SbBeFIVW58FMqRJ21DIKwz00I5i0?usp=sharing" TargetMode="External"/><Relationship Id="rId13" Type="http://schemas.openxmlformats.org/officeDocument/2006/relationships/hyperlink" Target="https://drive.google.com/drive/folders/1NcMC2criafZR0Mn2a903Xz8-Nzc2nVui?usp=sharing" TargetMode="External"/><Relationship Id="rId18" Type="http://schemas.openxmlformats.org/officeDocument/2006/relationships/hyperlink" Target="https://drive.google.com/drive/folders/16xbG7aCZNfsJSuIw1_u0FCStpDKXw2cz?usp=sharing" TargetMode="External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hyperlink" Target="https://drive.google.com/drive/folders/12qGaOVmOTzdqsJOrS2uZ6oHRV2q3Aesu?usp=sharing" TargetMode="External"/><Relationship Id="rId12" Type="http://schemas.openxmlformats.org/officeDocument/2006/relationships/hyperlink" Target="https://drive.google.com/drive/folders/1NcMC2criafZR0Mn2a903Xz8-Nzc2nVui?usp=sharing" TargetMode="External"/><Relationship Id="rId17" Type="http://schemas.openxmlformats.org/officeDocument/2006/relationships/hyperlink" Target="https://drive.google.com/drive/folders/1478QAZ3QZjISzCFnGv9h7rAiS1h4tUv0?usp=drive_link" TargetMode="External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drive.google.com/drive/folders/11SvHJb2qv6KfQJRbyOKPBP1xZlC6A6aK?usp=drive_link" TargetMode="Externa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drive.google.com/drive/folders/1HGga12WTTZaLKFn3FFx0Y6475ssGYEGG?usp=sharing" TargetMode="External"/><Relationship Id="rId24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hyperlink" Target="https://drive.google.com/drive/folders/11SvHJb2qv6KfQJRbyOKPBP1xZlC6A6aK?usp=sharing" TargetMode="External"/><Relationship Id="rId23" Type="http://schemas.openxmlformats.org/officeDocument/2006/relationships/header" Target="header3.xml"/><Relationship Id="rId10" Type="http://schemas.openxmlformats.org/officeDocument/2006/relationships/hyperlink" Target="https://drive.google.com/drive/folders/14NaT3RGWToosU-kwYFALUDCStKG2rGW4?usp=sharing" TargetMode="External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drive.google.com/drive/folders/1w144QdVCmMVQ5SD0D2rkIO4BgT8Kqetk?usp=sharing" TargetMode="External"/><Relationship Id="rId14" Type="http://schemas.openxmlformats.org/officeDocument/2006/relationships/hyperlink" Target="https://drive.google.com/drive/folders/1DT-27QqlvrDijKdG4v2-bhWb2oT6G-Pv?usp=drive_link" TargetMode="External"/><Relationship Id="rId22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teLBil4WIkq+HaRq0+RWWuddVQ==">CgMxLjAyDmgucnBubXl1NXZ1dGx6Mg5oLnl5eHQ0b3l1czRuZzgAciExVlA4aHh4MFJnUWt2RlNSMGJHMTdzZXN4blAzMVJuN3I=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5</Pages>
  <Words>1174</Words>
  <Characters>6459</Characters>
  <Application>Microsoft Office Word</Application>
  <DocSecurity>0</DocSecurity>
  <Lines>53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Leonardo Gálvez Henao</cp:lastModifiedBy>
  <cp:revision>4</cp:revision>
  <dcterms:created xsi:type="dcterms:W3CDTF">2026-04-15T17:08:00Z</dcterms:created>
  <dcterms:modified xsi:type="dcterms:W3CDTF">2026-04-15T18:22:00Z</dcterms:modified>
</cp:coreProperties>
</file>